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Govanhill Community Engagement and Information Strategy</w:t>
      </w:r>
    </w:p>
    <w:p w:rsidR="00000000" w:rsidDel="00000000" w:rsidP="00000000" w:rsidRDefault="00000000" w:rsidRPr="00000000" w14:paraId="00000002">
      <w:pPr>
        <w:spacing w:after="240" w:befor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Working Group session 7&amp;8 follow up notes</w:t>
      </w:r>
    </w:p>
    <w:p w:rsidR="00000000" w:rsidDel="00000000" w:rsidP="00000000" w:rsidRDefault="00000000" w:rsidRPr="00000000" w14:paraId="00000003">
      <w:pPr>
        <w:spacing w:after="240" w:before="240" w:line="24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Session 7 02/12/2021</w:t>
      </w:r>
    </w:p>
    <w:p w:rsidR="00000000" w:rsidDel="00000000" w:rsidP="00000000" w:rsidRDefault="00000000" w:rsidRPr="00000000" w14:paraId="00000004">
      <w:pPr>
        <w:spacing w:line="24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In attendance: Rose O’Docherty, Jennifer Macdonald, Marion Nisbet, Shabana Kausar, Allison McKenna-Breen, Maddi Cassell, Dawn Brown, and Marzanna Antoniak</w:t>
      </w:r>
    </w:p>
    <w:p w:rsidR="00000000" w:rsidDel="00000000" w:rsidP="00000000" w:rsidRDefault="00000000" w:rsidRPr="00000000" w14:paraId="00000005">
      <w:pPr>
        <w:spacing w:after="240" w:before="240" w:line="24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Session 8 16/12/2021</w:t>
      </w:r>
    </w:p>
    <w:p w:rsidR="00000000" w:rsidDel="00000000" w:rsidP="00000000" w:rsidRDefault="00000000" w:rsidRPr="00000000" w14:paraId="00000006">
      <w:pPr>
        <w:spacing w:line="24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In attendance: Rose O’Docherty, Jennifer Macdonald, Marion Nisbet, David Doren, Alexandra Krause, Dawn Brown, and Marzanna Antoniak</w:t>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widowControl w:val="0"/>
        <w:shd w:fill="ffffff" w:val="clear"/>
        <w:spacing w:line="240" w:lineRule="auto"/>
        <w:jc w:val="both"/>
        <w:rPr>
          <w:rFonts w:ascii="Century Gothic" w:cs="Century Gothic" w:eastAsia="Century Gothic" w:hAnsi="Century Gothic"/>
          <w:color w:val="222222"/>
        </w:rPr>
      </w:pPr>
      <w:r w:rsidDel="00000000" w:rsidR="00000000" w:rsidRPr="00000000">
        <w:rPr>
          <w:rFonts w:ascii="Century Gothic" w:cs="Century Gothic" w:eastAsia="Century Gothic" w:hAnsi="Century Gothic"/>
          <w:color w:val="222222"/>
          <w:rtl w:val="0"/>
        </w:rPr>
        <w:t xml:space="preserve">During both sessions, t</w:t>
      </w:r>
      <w:r w:rsidDel="00000000" w:rsidR="00000000" w:rsidRPr="00000000">
        <w:rPr>
          <w:rFonts w:ascii="Century Gothic" w:cs="Century Gothic" w:eastAsia="Century Gothic" w:hAnsi="Century Gothic"/>
          <w:color w:val="222222"/>
          <w:rtl w:val="0"/>
        </w:rPr>
        <w:t xml:space="preserve">he group went through the draft proposals on ACCOUNTABILITY and discussed resources required to fulfil them, as well as assumed outcomes, outputs, and success indicators. </w:t>
      </w:r>
    </w:p>
    <w:p w:rsidR="00000000" w:rsidDel="00000000" w:rsidP="00000000" w:rsidRDefault="00000000" w:rsidRPr="00000000" w14:paraId="00000009">
      <w:pPr>
        <w:widowControl w:val="0"/>
        <w:shd w:fill="ffffff" w:val="clear"/>
        <w:spacing w:line="240" w:lineRule="auto"/>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0A">
      <w:pPr>
        <w:widowControl w:val="0"/>
        <w:shd w:fill="ffffff" w:val="clear"/>
        <w:spacing w:line="240" w:lineRule="auto"/>
        <w:jc w:val="both"/>
        <w:rPr>
          <w:rFonts w:ascii="Century Gothic" w:cs="Century Gothic" w:eastAsia="Century Gothic" w:hAnsi="Century Gothic"/>
          <w:color w:val="222222"/>
        </w:rPr>
      </w:pPr>
      <w:r w:rsidDel="00000000" w:rsidR="00000000" w:rsidRPr="00000000">
        <w:rPr>
          <w:rFonts w:ascii="Century Gothic" w:cs="Century Gothic" w:eastAsia="Century Gothic" w:hAnsi="Century Gothic"/>
          <w:color w:val="222222"/>
          <w:rtl w:val="0"/>
        </w:rPr>
        <w:t xml:space="preserve">The draft plan has been updated including all the suggestions made by the group members and sent to them for feedback. The title of the first part of the GCEIS strategy is Strengthening Co-production and Accountability.</w:t>
      </w:r>
      <w:r w:rsidDel="00000000" w:rsidR="00000000" w:rsidRPr="00000000">
        <w:rPr>
          <w:rFonts w:ascii="Century Gothic" w:cs="Century Gothic" w:eastAsia="Century Gothic" w:hAnsi="Century Gothic"/>
          <w:color w:val="222222"/>
          <w:highlight w:val="white"/>
          <w:rtl w:val="0"/>
        </w:rPr>
        <w:t xml:space="preserve"> "</w:t>
      </w:r>
      <w:r w:rsidDel="00000000" w:rsidR="00000000" w:rsidRPr="00000000">
        <w:rPr>
          <w:rFonts w:ascii="Century Gothic" w:cs="Century Gothic" w:eastAsia="Century Gothic" w:hAnsi="Century Gothic"/>
          <w:color w:val="3c4043"/>
          <w:highlight w:val="white"/>
          <w:rtl w:val="0"/>
        </w:rPr>
        <w:t xml:space="preserve">Co-production is a practice in the delivery of public services in which citizens are involved in the creation of public policies and services" and that's what we are doing through the development of the Locality Plan for Govanhill. </w:t>
      </w:r>
      <w:r w:rsidDel="00000000" w:rsidR="00000000" w:rsidRPr="00000000">
        <w:rPr>
          <w:rFonts w:ascii="Century Gothic" w:cs="Century Gothic" w:eastAsia="Century Gothic" w:hAnsi="Century Gothic"/>
          <w:color w:val="222222"/>
          <w:highlight w:val="white"/>
          <w:rtl w:val="0"/>
        </w:rPr>
        <w:t xml:space="preserve">One of the benefits of this approach is that co-productive processes strengthen accountability. </w:t>
      </w:r>
      <w:r w:rsidDel="00000000" w:rsidR="00000000" w:rsidRPr="00000000">
        <w:rPr>
          <w:rtl w:val="0"/>
        </w:rPr>
      </w:r>
    </w:p>
    <w:p w:rsidR="00000000" w:rsidDel="00000000" w:rsidP="00000000" w:rsidRDefault="00000000" w:rsidRPr="00000000" w14:paraId="0000000B">
      <w:pPr>
        <w:widowControl w:val="0"/>
        <w:shd w:fill="ffffff" w:val="clear"/>
        <w:spacing w:line="240" w:lineRule="auto"/>
        <w:jc w:val="both"/>
        <w:rPr>
          <w:rFonts w:ascii="Century Gothic" w:cs="Century Gothic" w:eastAsia="Century Gothic" w:hAnsi="Century Gothic"/>
          <w:b w:val="1"/>
          <w:color w:val="222222"/>
        </w:rPr>
      </w:pPr>
      <w:r w:rsidDel="00000000" w:rsidR="00000000" w:rsidRPr="00000000">
        <w:rPr>
          <w:rtl w:val="0"/>
        </w:rPr>
      </w:r>
    </w:p>
    <w:p w:rsidR="00000000" w:rsidDel="00000000" w:rsidP="00000000" w:rsidRDefault="00000000" w:rsidRPr="00000000" w14:paraId="0000000C">
      <w:pPr>
        <w:widowControl w:val="0"/>
        <w:shd w:fill="ffffff" w:val="clear"/>
        <w:spacing w:line="240" w:lineRule="auto"/>
        <w:jc w:val="both"/>
        <w:rPr>
          <w:rFonts w:ascii="Century Gothic" w:cs="Century Gothic" w:eastAsia="Century Gothic" w:hAnsi="Century Gothic"/>
          <w:color w:val="222222"/>
        </w:rPr>
      </w:pPr>
      <w:r w:rsidDel="00000000" w:rsidR="00000000" w:rsidRPr="00000000">
        <w:rPr>
          <w:rFonts w:ascii="Century Gothic" w:cs="Century Gothic" w:eastAsia="Century Gothic" w:hAnsi="Century Gothic"/>
          <w:color w:val="222222"/>
          <w:rtl w:val="0"/>
        </w:rPr>
        <w:t xml:space="preserve">The 2nd part of GCEIS focusing on Accessible Information, which the Group has made recommendations for, is being finalised by Marzanna and Dawn and will be shared with the group around the 20th of January.</w:t>
      </w:r>
    </w:p>
    <w:p w:rsidR="00000000" w:rsidDel="00000000" w:rsidP="00000000" w:rsidRDefault="00000000" w:rsidRPr="00000000" w14:paraId="0000000D">
      <w:pPr>
        <w:widowControl w:val="0"/>
        <w:shd w:fill="ffffff" w:val="clear"/>
        <w:spacing w:line="240" w:lineRule="auto"/>
        <w:jc w:val="both"/>
        <w:rPr>
          <w:rFonts w:ascii="Century Gothic" w:cs="Century Gothic" w:eastAsia="Century Gothic" w:hAnsi="Century Gothic"/>
          <w:b w:val="1"/>
          <w:color w:val="222222"/>
        </w:rPr>
      </w:pPr>
      <w:r w:rsidDel="00000000" w:rsidR="00000000" w:rsidRPr="00000000">
        <w:rPr>
          <w:rtl w:val="0"/>
        </w:rPr>
      </w:r>
    </w:p>
    <w:p w:rsidR="00000000" w:rsidDel="00000000" w:rsidP="00000000" w:rsidRDefault="00000000" w:rsidRPr="00000000" w14:paraId="0000000E">
      <w:pPr>
        <w:widowControl w:val="0"/>
        <w:shd w:fill="ffffff" w:val="clear"/>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color w:val="222222"/>
          <w:rtl w:val="0"/>
        </w:rPr>
        <w:t xml:space="preserve">As the next step, the draft plan will be shared with the Thriving Places Board so that the members can feed back on the proposals, especially as many of the proposed actions will require their lead. It is expected that the Board will feed back on the proposals before the end of January. The amended draft </w:t>
      </w:r>
      <w:r w:rsidDel="00000000" w:rsidR="00000000" w:rsidRPr="00000000">
        <w:rPr>
          <w:rFonts w:ascii="Century Gothic" w:cs="Century Gothic" w:eastAsia="Century Gothic" w:hAnsi="Century Gothic"/>
          <w:rtl w:val="0"/>
        </w:rPr>
        <w:t xml:space="preserve">of the Govanhill Community Engagement and Information Strategy will be then sent back to the working group for their comments, and the final step is to get it officially approved by the Thriving Places Board.</w:t>
      </w:r>
    </w:p>
    <w:p w:rsidR="00000000" w:rsidDel="00000000" w:rsidP="00000000" w:rsidRDefault="00000000" w:rsidRPr="00000000" w14:paraId="0000000F">
      <w:pPr>
        <w:widowControl w:val="0"/>
        <w:shd w:fill="ffffff" w:val="clear"/>
        <w:spacing w:line="240" w:lineRule="auto"/>
        <w:jc w:val="both"/>
        <w:rPr>
          <w:rFonts w:ascii="Century Gothic" w:cs="Century Gothic" w:eastAsia="Century Gothic" w:hAnsi="Century Gothic"/>
          <w:b w:val="1"/>
          <w:color w:val="222222"/>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